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73" w:rsidRPr="00FD0E44" w:rsidRDefault="00245573" w:rsidP="00245573">
      <w:pPr>
        <w:rPr>
          <w:rFonts w:eastAsia="Calibri" w:cs="Arial"/>
          <w:b/>
          <w:sz w:val="22"/>
          <w:szCs w:val="22"/>
        </w:rPr>
      </w:pPr>
      <w:r>
        <w:rPr>
          <w:rFonts w:eastAsia="Calibri" w:cs="Arial"/>
          <w:b/>
          <w:sz w:val="22"/>
          <w:szCs w:val="22"/>
        </w:rPr>
        <w:t xml:space="preserve">APPENDIX C - FSR SUMMARY:  HR&amp;OD </w:t>
      </w:r>
      <w:r w:rsidRPr="00FD0E44">
        <w:rPr>
          <w:rFonts w:eastAsia="Calibri" w:cs="Arial"/>
          <w:b/>
          <w:sz w:val="22"/>
          <w:szCs w:val="22"/>
        </w:rPr>
        <w:t>17.11.16</w:t>
      </w:r>
    </w:p>
    <w:p w:rsidR="00245573" w:rsidRPr="00FD0E44" w:rsidRDefault="00245573" w:rsidP="00245573">
      <w:pPr>
        <w:rPr>
          <w:rFonts w:eastAsia="Calibri" w:cs="Arial"/>
          <w:b/>
          <w:color w:val="000000"/>
          <w:sz w:val="22"/>
          <w:szCs w:val="22"/>
          <w:u w:val="single"/>
        </w:rPr>
      </w:pPr>
    </w:p>
    <w:p w:rsidR="00245573" w:rsidRPr="00FD0E44" w:rsidRDefault="00245573" w:rsidP="00245573">
      <w:pPr>
        <w:rPr>
          <w:rFonts w:eastAsia="Calibri" w:cs="Arial"/>
          <w:b/>
          <w:color w:val="000000"/>
          <w:sz w:val="22"/>
          <w:szCs w:val="22"/>
          <w:u w:val="single"/>
        </w:rPr>
      </w:pPr>
      <w:r w:rsidRPr="00FD0E44">
        <w:rPr>
          <w:rFonts w:eastAsia="Calibri" w:cs="Arial"/>
          <w:b/>
          <w:color w:val="000000"/>
          <w:sz w:val="22"/>
          <w:szCs w:val="22"/>
          <w:u w:val="single"/>
        </w:rPr>
        <w:t>Introduction</w:t>
      </w:r>
    </w:p>
    <w:p w:rsidR="00245573" w:rsidRPr="00FD0E44" w:rsidRDefault="00245573" w:rsidP="00245573">
      <w:pPr>
        <w:rPr>
          <w:rFonts w:eastAsia="Calibri" w:cs="Arial"/>
          <w:color w:val="000000"/>
          <w:sz w:val="22"/>
          <w:szCs w:val="22"/>
        </w:rPr>
      </w:pPr>
      <w:r w:rsidRPr="00FD0E44">
        <w:rPr>
          <w:rFonts w:eastAsia="Calibri" w:cs="Arial"/>
          <w:color w:val="000000"/>
          <w:sz w:val="22"/>
          <w:szCs w:val="22"/>
        </w:rPr>
        <w:t xml:space="preserve">This note outlines the proposed saving of £80k, and briefly describes the options considered as part of the Fundamental Service Review of Human Resources (HR) and Organisational Development OD). The HR and Organisational Development teams incorporate 21 posts including the Corporate Lead for HR/OD previously occupied by Simon </w:t>
      </w:r>
      <w:proofErr w:type="spellStart"/>
      <w:r w:rsidRPr="00FD0E44">
        <w:rPr>
          <w:rFonts w:eastAsia="Calibri" w:cs="Arial"/>
          <w:color w:val="000000"/>
          <w:sz w:val="22"/>
          <w:szCs w:val="22"/>
        </w:rPr>
        <w:t>Howick</w:t>
      </w:r>
      <w:proofErr w:type="spellEnd"/>
      <w:r w:rsidRPr="00FD0E44">
        <w:rPr>
          <w:rFonts w:eastAsia="Calibri" w:cs="Arial"/>
          <w:color w:val="000000"/>
          <w:sz w:val="22"/>
          <w:szCs w:val="22"/>
        </w:rPr>
        <w:t>.  Alongside the opportunity for financial savings, one of the objectives of this review was to explore how we could better integrate HR and OD to reflect the maturity of the organisation.</w:t>
      </w:r>
    </w:p>
    <w:p w:rsidR="00245573" w:rsidRPr="00FD0E44" w:rsidRDefault="00245573" w:rsidP="00245573">
      <w:pPr>
        <w:rPr>
          <w:rFonts w:eastAsia="Calibri" w:cs="Arial"/>
          <w:color w:val="000000"/>
          <w:sz w:val="22"/>
          <w:szCs w:val="22"/>
        </w:rPr>
      </w:pPr>
    </w:p>
    <w:p w:rsidR="00245573" w:rsidRPr="00FD0E44" w:rsidRDefault="00245573" w:rsidP="00245573">
      <w:pPr>
        <w:rPr>
          <w:rFonts w:eastAsia="Calibri" w:cs="Arial"/>
          <w:b/>
          <w:sz w:val="22"/>
          <w:szCs w:val="22"/>
          <w:u w:val="single"/>
        </w:rPr>
      </w:pPr>
      <w:r w:rsidRPr="00FD0E44">
        <w:rPr>
          <w:rFonts w:eastAsia="Calibri" w:cs="Arial"/>
          <w:b/>
          <w:sz w:val="22"/>
          <w:szCs w:val="22"/>
          <w:u w:val="single"/>
        </w:rPr>
        <w:t>Options considered</w:t>
      </w:r>
    </w:p>
    <w:p w:rsidR="00245573" w:rsidRPr="00FD0E44" w:rsidRDefault="00245573" w:rsidP="00245573">
      <w:pPr>
        <w:rPr>
          <w:rFonts w:eastAsia="Calibri" w:cs="Arial"/>
          <w:b/>
          <w:sz w:val="22"/>
          <w:szCs w:val="22"/>
          <w:u w:val="single"/>
        </w:rPr>
      </w:pPr>
    </w:p>
    <w:p w:rsidR="00245573" w:rsidRPr="00FD0E44" w:rsidRDefault="00245573" w:rsidP="00245573">
      <w:pPr>
        <w:numPr>
          <w:ilvl w:val="0"/>
          <w:numId w:val="1"/>
        </w:numPr>
        <w:contextualSpacing/>
        <w:rPr>
          <w:rFonts w:eastAsia="Calibri" w:cs="Arial"/>
          <w:b/>
          <w:sz w:val="22"/>
          <w:szCs w:val="22"/>
        </w:rPr>
      </w:pPr>
      <w:r w:rsidRPr="00FD0E44">
        <w:rPr>
          <w:rFonts w:eastAsia="Calibri" w:cs="Arial"/>
          <w:b/>
          <w:sz w:val="22"/>
          <w:szCs w:val="22"/>
        </w:rPr>
        <w:t>Outsourcing the HR &amp; Payroll transactional functions</w:t>
      </w:r>
    </w:p>
    <w:p w:rsidR="00245573" w:rsidRPr="00FD0E44" w:rsidRDefault="00245573" w:rsidP="00245573">
      <w:pPr>
        <w:rPr>
          <w:rFonts w:eastAsia="Calibri" w:cs="Arial"/>
          <w:sz w:val="22"/>
          <w:szCs w:val="22"/>
        </w:rPr>
      </w:pPr>
      <w:r w:rsidRPr="00FD0E44">
        <w:rPr>
          <w:rFonts w:eastAsia="Calibri" w:cs="Arial"/>
          <w:sz w:val="22"/>
          <w:szCs w:val="22"/>
        </w:rPr>
        <w:t>Soft market testing indicates the likely cost of a contract would be broadly equivalent to the cost of the staff we would lose, and any savings that we would make would come from re-structuring the residual team.    In part this is the result of a recent very positive tender exercise for a new HR &amp; Payroll system. The new contract will commence on 1</w:t>
      </w:r>
      <w:r w:rsidRPr="00FD0E44">
        <w:rPr>
          <w:rFonts w:eastAsia="Calibri" w:cs="Arial"/>
          <w:sz w:val="22"/>
          <w:szCs w:val="22"/>
          <w:vertAlign w:val="superscript"/>
        </w:rPr>
        <w:t>st</w:t>
      </w:r>
      <w:r w:rsidRPr="00FD0E44">
        <w:rPr>
          <w:rFonts w:eastAsia="Calibri" w:cs="Arial"/>
          <w:sz w:val="22"/>
          <w:szCs w:val="22"/>
        </w:rPr>
        <w:t xml:space="preserve"> April 2018.  The savings arising are already factored into the MTFP as follows:</w:t>
      </w:r>
    </w:p>
    <w:p w:rsidR="00245573" w:rsidRPr="00FD0E44" w:rsidRDefault="00245573" w:rsidP="00245573">
      <w:pPr>
        <w:ind w:left="360"/>
        <w:contextualSpacing/>
        <w:rPr>
          <w:rFonts w:eastAsia="Calibri"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531"/>
        <w:gridCol w:w="1531"/>
        <w:gridCol w:w="1531"/>
        <w:gridCol w:w="1532"/>
        <w:gridCol w:w="1532"/>
      </w:tblGrid>
      <w:tr w:rsidR="00245573" w:rsidRPr="00C5024D" w:rsidTr="00EA1B4A">
        <w:tc>
          <w:tcPr>
            <w:tcW w:w="1225" w:type="dxa"/>
            <w:shd w:val="clear" w:color="auto" w:fill="auto"/>
          </w:tcPr>
          <w:p w:rsidR="00245573" w:rsidRPr="00C5024D" w:rsidRDefault="00245573" w:rsidP="00EA1B4A">
            <w:pPr>
              <w:jc w:val="center"/>
              <w:rPr>
                <w:rFonts w:eastAsia="Calibri" w:cs="Arial"/>
                <w:b/>
                <w:sz w:val="22"/>
                <w:szCs w:val="22"/>
              </w:rPr>
            </w:pPr>
          </w:p>
        </w:tc>
        <w:tc>
          <w:tcPr>
            <w:tcW w:w="1531" w:type="dxa"/>
            <w:shd w:val="clear" w:color="auto" w:fill="auto"/>
          </w:tcPr>
          <w:p w:rsidR="00245573" w:rsidRPr="00C5024D" w:rsidRDefault="00245573" w:rsidP="00EA1B4A">
            <w:pPr>
              <w:jc w:val="center"/>
              <w:rPr>
                <w:rFonts w:eastAsia="Calibri" w:cs="Arial"/>
                <w:b/>
                <w:sz w:val="22"/>
                <w:szCs w:val="22"/>
              </w:rPr>
            </w:pPr>
            <w:r w:rsidRPr="00C5024D">
              <w:rPr>
                <w:rFonts w:eastAsia="Calibri" w:cs="Arial"/>
                <w:b/>
                <w:sz w:val="22"/>
                <w:szCs w:val="22"/>
              </w:rPr>
              <w:t>2017/18</w:t>
            </w:r>
          </w:p>
          <w:p w:rsidR="00245573" w:rsidRPr="00C5024D" w:rsidRDefault="00245573" w:rsidP="00EA1B4A">
            <w:pPr>
              <w:jc w:val="center"/>
              <w:rPr>
                <w:rFonts w:eastAsia="Calibri" w:cs="Arial"/>
                <w:b/>
                <w:sz w:val="22"/>
                <w:szCs w:val="22"/>
              </w:rPr>
            </w:pPr>
            <w:r w:rsidRPr="00C5024D">
              <w:rPr>
                <w:rFonts w:eastAsia="Calibri" w:cs="Arial"/>
                <w:b/>
                <w:sz w:val="22"/>
                <w:szCs w:val="22"/>
              </w:rPr>
              <w:t>£’000</w:t>
            </w:r>
          </w:p>
        </w:tc>
        <w:tc>
          <w:tcPr>
            <w:tcW w:w="1531" w:type="dxa"/>
            <w:shd w:val="clear" w:color="auto" w:fill="auto"/>
          </w:tcPr>
          <w:p w:rsidR="00245573" w:rsidRPr="00C5024D" w:rsidRDefault="00245573" w:rsidP="00EA1B4A">
            <w:pPr>
              <w:jc w:val="center"/>
              <w:rPr>
                <w:rFonts w:eastAsia="Calibri" w:cs="Arial"/>
                <w:b/>
                <w:sz w:val="22"/>
                <w:szCs w:val="22"/>
              </w:rPr>
            </w:pPr>
            <w:r w:rsidRPr="00C5024D">
              <w:rPr>
                <w:rFonts w:eastAsia="Calibri" w:cs="Arial"/>
                <w:b/>
                <w:sz w:val="22"/>
                <w:szCs w:val="22"/>
              </w:rPr>
              <w:t>2018/19</w:t>
            </w:r>
          </w:p>
          <w:p w:rsidR="00245573" w:rsidRPr="00C5024D" w:rsidRDefault="00245573" w:rsidP="00EA1B4A">
            <w:pPr>
              <w:jc w:val="center"/>
              <w:rPr>
                <w:rFonts w:eastAsia="Calibri" w:cs="Arial"/>
                <w:b/>
                <w:sz w:val="22"/>
                <w:szCs w:val="22"/>
              </w:rPr>
            </w:pPr>
            <w:r w:rsidRPr="00C5024D">
              <w:rPr>
                <w:rFonts w:eastAsia="Calibri" w:cs="Arial"/>
                <w:b/>
                <w:sz w:val="22"/>
                <w:szCs w:val="22"/>
              </w:rPr>
              <w:t>£’000</w:t>
            </w:r>
          </w:p>
        </w:tc>
        <w:tc>
          <w:tcPr>
            <w:tcW w:w="1531" w:type="dxa"/>
            <w:shd w:val="clear" w:color="auto" w:fill="auto"/>
          </w:tcPr>
          <w:p w:rsidR="00245573" w:rsidRPr="00C5024D" w:rsidRDefault="00245573" w:rsidP="00EA1B4A">
            <w:pPr>
              <w:jc w:val="center"/>
              <w:rPr>
                <w:rFonts w:eastAsia="Calibri" w:cs="Arial"/>
                <w:b/>
                <w:sz w:val="22"/>
                <w:szCs w:val="22"/>
              </w:rPr>
            </w:pPr>
            <w:r w:rsidRPr="00C5024D">
              <w:rPr>
                <w:rFonts w:eastAsia="Calibri" w:cs="Arial"/>
                <w:b/>
                <w:sz w:val="22"/>
                <w:szCs w:val="22"/>
              </w:rPr>
              <w:t>2019/20</w:t>
            </w:r>
          </w:p>
          <w:p w:rsidR="00245573" w:rsidRPr="00C5024D" w:rsidRDefault="00245573" w:rsidP="00EA1B4A">
            <w:pPr>
              <w:jc w:val="center"/>
              <w:rPr>
                <w:rFonts w:eastAsia="Calibri" w:cs="Arial"/>
                <w:b/>
                <w:sz w:val="22"/>
                <w:szCs w:val="22"/>
              </w:rPr>
            </w:pPr>
            <w:r w:rsidRPr="00C5024D">
              <w:rPr>
                <w:rFonts w:eastAsia="Calibri" w:cs="Arial"/>
                <w:b/>
                <w:sz w:val="22"/>
                <w:szCs w:val="22"/>
              </w:rPr>
              <w:t>£’000</w:t>
            </w:r>
          </w:p>
        </w:tc>
        <w:tc>
          <w:tcPr>
            <w:tcW w:w="1532" w:type="dxa"/>
            <w:shd w:val="clear" w:color="auto" w:fill="auto"/>
          </w:tcPr>
          <w:p w:rsidR="00245573" w:rsidRPr="00C5024D" w:rsidRDefault="00245573" w:rsidP="00EA1B4A">
            <w:pPr>
              <w:jc w:val="center"/>
              <w:rPr>
                <w:rFonts w:eastAsia="Calibri" w:cs="Arial"/>
                <w:b/>
                <w:sz w:val="22"/>
                <w:szCs w:val="22"/>
              </w:rPr>
            </w:pPr>
            <w:r w:rsidRPr="00C5024D">
              <w:rPr>
                <w:rFonts w:eastAsia="Calibri" w:cs="Arial"/>
                <w:b/>
                <w:sz w:val="22"/>
                <w:szCs w:val="22"/>
              </w:rPr>
              <w:t>2020/21</w:t>
            </w:r>
          </w:p>
          <w:p w:rsidR="00245573" w:rsidRPr="00C5024D" w:rsidRDefault="00245573" w:rsidP="00EA1B4A">
            <w:pPr>
              <w:jc w:val="center"/>
              <w:rPr>
                <w:rFonts w:eastAsia="Calibri" w:cs="Arial"/>
                <w:b/>
                <w:sz w:val="22"/>
                <w:szCs w:val="22"/>
              </w:rPr>
            </w:pPr>
            <w:r w:rsidRPr="00C5024D">
              <w:rPr>
                <w:rFonts w:eastAsia="Calibri" w:cs="Arial"/>
                <w:b/>
                <w:sz w:val="22"/>
                <w:szCs w:val="22"/>
              </w:rPr>
              <w:t>£’000</w:t>
            </w:r>
          </w:p>
        </w:tc>
        <w:tc>
          <w:tcPr>
            <w:tcW w:w="1532" w:type="dxa"/>
            <w:shd w:val="clear" w:color="auto" w:fill="auto"/>
          </w:tcPr>
          <w:p w:rsidR="00245573" w:rsidRPr="00C5024D" w:rsidRDefault="00245573" w:rsidP="00EA1B4A">
            <w:pPr>
              <w:jc w:val="center"/>
              <w:rPr>
                <w:rFonts w:eastAsia="Calibri" w:cs="Arial"/>
                <w:b/>
                <w:sz w:val="22"/>
                <w:szCs w:val="22"/>
              </w:rPr>
            </w:pPr>
            <w:r w:rsidRPr="00C5024D">
              <w:rPr>
                <w:rFonts w:eastAsia="Calibri" w:cs="Arial"/>
                <w:b/>
                <w:sz w:val="22"/>
                <w:szCs w:val="22"/>
              </w:rPr>
              <w:t>2021/22</w:t>
            </w:r>
          </w:p>
          <w:p w:rsidR="00245573" w:rsidRPr="00C5024D" w:rsidRDefault="00245573" w:rsidP="00EA1B4A">
            <w:pPr>
              <w:jc w:val="center"/>
              <w:rPr>
                <w:rFonts w:eastAsia="Calibri" w:cs="Arial"/>
                <w:b/>
                <w:sz w:val="22"/>
                <w:szCs w:val="22"/>
              </w:rPr>
            </w:pPr>
            <w:r w:rsidRPr="00C5024D">
              <w:rPr>
                <w:rFonts w:eastAsia="Calibri" w:cs="Arial"/>
                <w:b/>
                <w:sz w:val="22"/>
                <w:szCs w:val="22"/>
              </w:rPr>
              <w:t>£’000</w:t>
            </w:r>
          </w:p>
        </w:tc>
      </w:tr>
      <w:tr w:rsidR="00245573" w:rsidRPr="00C5024D" w:rsidTr="00EA1B4A">
        <w:tc>
          <w:tcPr>
            <w:tcW w:w="1225" w:type="dxa"/>
            <w:shd w:val="clear" w:color="auto" w:fill="auto"/>
          </w:tcPr>
          <w:p w:rsidR="00245573" w:rsidRPr="00C5024D" w:rsidRDefault="00245573" w:rsidP="00EA1B4A">
            <w:pPr>
              <w:rPr>
                <w:rFonts w:eastAsia="Calibri" w:cs="Arial"/>
                <w:b/>
                <w:sz w:val="22"/>
                <w:szCs w:val="22"/>
              </w:rPr>
            </w:pPr>
            <w:r w:rsidRPr="00C5024D">
              <w:rPr>
                <w:rFonts w:eastAsia="Calibri" w:cs="Arial"/>
                <w:b/>
                <w:sz w:val="22"/>
                <w:szCs w:val="22"/>
              </w:rPr>
              <w:t>Saving</w:t>
            </w:r>
          </w:p>
        </w:tc>
        <w:tc>
          <w:tcPr>
            <w:tcW w:w="1531" w:type="dxa"/>
            <w:shd w:val="clear" w:color="auto" w:fill="auto"/>
          </w:tcPr>
          <w:p w:rsidR="00245573" w:rsidRPr="00C5024D" w:rsidRDefault="00245573" w:rsidP="00EA1B4A">
            <w:pPr>
              <w:jc w:val="center"/>
              <w:rPr>
                <w:rFonts w:eastAsia="Calibri" w:cs="Arial"/>
                <w:sz w:val="22"/>
                <w:szCs w:val="22"/>
              </w:rPr>
            </w:pPr>
            <w:r w:rsidRPr="00C5024D">
              <w:rPr>
                <w:rFonts w:eastAsia="Calibri" w:cs="Arial"/>
                <w:sz w:val="22"/>
                <w:szCs w:val="22"/>
              </w:rPr>
              <w:t>0</w:t>
            </w:r>
          </w:p>
        </w:tc>
        <w:tc>
          <w:tcPr>
            <w:tcW w:w="1531" w:type="dxa"/>
            <w:shd w:val="clear" w:color="auto" w:fill="auto"/>
          </w:tcPr>
          <w:p w:rsidR="00245573" w:rsidRPr="00C5024D" w:rsidRDefault="00245573" w:rsidP="00EA1B4A">
            <w:pPr>
              <w:jc w:val="center"/>
              <w:rPr>
                <w:rFonts w:eastAsia="Calibri" w:cs="Arial"/>
                <w:sz w:val="22"/>
                <w:szCs w:val="22"/>
              </w:rPr>
            </w:pPr>
            <w:r w:rsidRPr="00C5024D">
              <w:rPr>
                <w:rFonts w:eastAsia="Calibri" w:cs="Arial"/>
                <w:sz w:val="22"/>
                <w:szCs w:val="22"/>
              </w:rPr>
              <w:t>66</w:t>
            </w:r>
          </w:p>
        </w:tc>
        <w:tc>
          <w:tcPr>
            <w:tcW w:w="1531" w:type="dxa"/>
            <w:shd w:val="clear" w:color="auto" w:fill="auto"/>
          </w:tcPr>
          <w:p w:rsidR="00245573" w:rsidRPr="00C5024D" w:rsidRDefault="00245573" w:rsidP="00EA1B4A">
            <w:pPr>
              <w:jc w:val="center"/>
              <w:rPr>
                <w:rFonts w:eastAsia="Calibri" w:cs="Arial"/>
                <w:sz w:val="22"/>
                <w:szCs w:val="22"/>
              </w:rPr>
            </w:pPr>
            <w:r w:rsidRPr="00C5024D">
              <w:rPr>
                <w:rFonts w:eastAsia="Calibri" w:cs="Arial"/>
                <w:sz w:val="22"/>
                <w:szCs w:val="22"/>
              </w:rPr>
              <w:t>66</w:t>
            </w:r>
          </w:p>
        </w:tc>
        <w:tc>
          <w:tcPr>
            <w:tcW w:w="1532" w:type="dxa"/>
            <w:shd w:val="clear" w:color="auto" w:fill="auto"/>
          </w:tcPr>
          <w:p w:rsidR="00245573" w:rsidRPr="00C5024D" w:rsidRDefault="00245573" w:rsidP="00EA1B4A">
            <w:pPr>
              <w:jc w:val="center"/>
              <w:rPr>
                <w:rFonts w:eastAsia="Calibri" w:cs="Arial"/>
                <w:sz w:val="22"/>
                <w:szCs w:val="22"/>
              </w:rPr>
            </w:pPr>
            <w:r w:rsidRPr="00C5024D">
              <w:rPr>
                <w:rFonts w:eastAsia="Calibri" w:cs="Arial"/>
                <w:sz w:val="22"/>
                <w:szCs w:val="22"/>
              </w:rPr>
              <w:t>52</w:t>
            </w:r>
          </w:p>
        </w:tc>
        <w:tc>
          <w:tcPr>
            <w:tcW w:w="1532" w:type="dxa"/>
            <w:shd w:val="clear" w:color="auto" w:fill="auto"/>
          </w:tcPr>
          <w:p w:rsidR="00245573" w:rsidRPr="00C5024D" w:rsidRDefault="00245573" w:rsidP="00EA1B4A">
            <w:pPr>
              <w:jc w:val="center"/>
              <w:rPr>
                <w:rFonts w:eastAsia="Calibri" w:cs="Arial"/>
                <w:sz w:val="22"/>
                <w:szCs w:val="22"/>
              </w:rPr>
            </w:pPr>
            <w:r w:rsidRPr="00C5024D">
              <w:rPr>
                <w:rFonts w:eastAsia="Calibri" w:cs="Arial"/>
                <w:sz w:val="22"/>
                <w:szCs w:val="22"/>
              </w:rPr>
              <w:t>52</w:t>
            </w:r>
          </w:p>
        </w:tc>
      </w:tr>
    </w:tbl>
    <w:p w:rsidR="00245573" w:rsidRPr="00FD0E44" w:rsidRDefault="00245573" w:rsidP="00245573">
      <w:pPr>
        <w:ind w:left="360"/>
        <w:contextualSpacing/>
        <w:rPr>
          <w:rFonts w:eastAsia="Calibri" w:cs="Arial"/>
          <w:sz w:val="22"/>
          <w:szCs w:val="22"/>
        </w:rPr>
      </w:pPr>
    </w:p>
    <w:p w:rsidR="00245573" w:rsidRPr="00FD0E44" w:rsidRDefault="00245573" w:rsidP="00245573">
      <w:pPr>
        <w:contextualSpacing/>
        <w:rPr>
          <w:rFonts w:eastAsia="Calibri" w:cs="Arial"/>
          <w:sz w:val="22"/>
          <w:szCs w:val="22"/>
        </w:rPr>
      </w:pPr>
      <w:r w:rsidRPr="00FD0E44">
        <w:rPr>
          <w:rFonts w:eastAsia="Calibri" w:cs="Arial"/>
          <w:sz w:val="22"/>
          <w:szCs w:val="22"/>
        </w:rPr>
        <w:t>Additionally, the outsourcing costs were only indicative, and any variations would be chargeable and the possibility of financial penalties from early termination of the recent contract entered into for the HR &amp; Payroll system rendered this option non-viable.</w:t>
      </w:r>
    </w:p>
    <w:p w:rsidR="00245573" w:rsidRPr="00FD0E44" w:rsidRDefault="00245573" w:rsidP="00245573">
      <w:pPr>
        <w:contextualSpacing/>
        <w:rPr>
          <w:rFonts w:eastAsia="Calibri" w:cs="Arial"/>
          <w:sz w:val="22"/>
          <w:szCs w:val="22"/>
        </w:rPr>
      </w:pPr>
      <w:r w:rsidRPr="00FD0E44">
        <w:rPr>
          <w:rFonts w:eastAsia="Calibri" w:cs="Arial"/>
          <w:sz w:val="22"/>
          <w:szCs w:val="22"/>
        </w:rPr>
        <w:t xml:space="preserve"> </w:t>
      </w:r>
    </w:p>
    <w:p w:rsidR="00245573" w:rsidRPr="00FD0E44" w:rsidRDefault="00245573" w:rsidP="00245573">
      <w:pPr>
        <w:numPr>
          <w:ilvl w:val="0"/>
          <w:numId w:val="1"/>
        </w:numPr>
        <w:contextualSpacing/>
        <w:rPr>
          <w:rFonts w:eastAsia="Calibri" w:cs="Arial"/>
          <w:b/>
          <w:sz w:val="22"/>
          <w:szCs w:val="22"/>
        </w:rPr>
      </w:pPr>
      <w:r w:rsidRPr="00FD0E44">
        <w:rPr>
          <w:rFonts w:eastAsia="Calibri" w:cs="Arial"/>
          <w:b/>
          <w:sz w:val="22"/>
          <w:szCs w:val="22"/>
        </w:rPr>
        <w:t xml:space="preserve">Service headed by Corporate Lead </w:t>
      </w:r>
    </w:p>
    <w:p w:rsidR="00245573" w:rsidRPr="00FD0E44" w:rsidRDefault="00245573" w:rsidP="00245573">
      <w:pPr>
        <w:contextualSpacing/>
        <w:rPr>
          <w:rFonts w:eastAsia="Calibri" w:cs="Arial"/>
          <w:sz w:val="22"/>
          <w:szCs w:val="22"/>
        </w:rPr>
      </w:pPr>
      <w:r w:rsidRPr="00FD0E44">
        <w:rPr>
          <w:rFonts w:eastAsia="Calibri" w:cs="Arial"/>
          <w:sz w:val="22"/>
          <w:szCs w:val="22"/>
        </w:rPr>
        <w:t>We examined the potential of creating a single corporate lead combining HR &amp; OD.  As this would make the structure managerially heavy, to make this feasible we would need to reduce some resources at a lower level and so this option was discounted.</w:t>
      </w:r>
    </w:p>
    <w:p w:rsidR="00245573" w:rsidRPr="00FD0E44" w:rsidRDefault="00245573" w:rsidP="00245573">
      <w:pPr>
        <w:ind w:left="360"/>
        <w:contextualSpacing/>
        <w:rPr>
          <w:rFonts w:eastAsia="Calibri" w:cs="Arial"/>
          <w:b/>
          <w:sz w:val="22"/>
          <w:szCs w:val="22"/>
          <w:u w:val="single"/>
        </w:rPr>
      </w:pPr>
    </w:p>
    <w:p w:rsidR="00245573" w:rsidRPr="00FD0E44" w:rsidRDefault="00245573" w:rsidP="00245573">
      <w:pPr>
        <w:numPr>
          <w:ilvl w:val="0"/>
          <w:numId w:val="1"/>
        </w:numPr>
        <w:contextualSpacing/>
        <w:rPr>
          <w:rFonts w:eastAsia="Calibri" w:cs="Arial"/>
          <w:b/>
          <w:sz w:val="22"/>
          <w:szCs w:val="22"/>
        </w:rPr>
      </w:pPr>
      <w:r w:rsidRPr="00FD0E44">
        <w:rPr>
          <w:rFonts w:eastAsia="Calibri" w:cs="Arial"/>
          <w:b/>
          <w:sz w:val="22"/>
          <w:szCs w:val="22"/>
        </w:rPr>
        <w:t>HR &amp; OD Services reporting directly to Service Head  – proposed option</w:t>
      </w:r>
    </w:p>
    <w:p w:rsidR="00245573" w:rsidRPr="00FD0E44" w:rsidRDefault="00245573" w:rsidP="00245573">
      <w:pPr>
        <w:rPr>
          <w:rFonts w:eastAsia="Calibri" w:cs="Arial"/>
          <w:sz w:val="22"/>
          <w:szCs w:val="22"/>
        </w:rPr>
      </w:pPr>
      <w:r w:rsidRPr="00FD0E44">
        <w:rPr>
          <w:rFonts w:eastAsia="Calibri" w:cs="Arial"/>
          <w:sz w:val="22"/>
          <w:szCs w:val="22"/>
        </w:rPr>
        <w:t xml:space="preserve">As the leadership and management development programme is now largely complete, the vision is to embed development of managers as part of business as usual, using the HR Business Partners and Advisors.  The Organisational Development Team would be responsible for shaping and overseeing the development of the organisation creating the online tools and resources for our managers to use in developing their staff.  Instead of increasing the management overhead, the Managers for HR and Organisational Development will report directly to the Head of Business Improvement.   Although this increases the number of direct reports to the Head of Business Improvement by one, the Executive Director ODCS could have managerial oversight of defined projects. </w:t>
      </w:r>
    </w:p>
    <w:p w:rsidR="00245573" w:rsidRPr="00FD0E44" w:rsidRDefault="00245573" w:rsidP="00245573">
      <w:pPr>
        <w:ind w:left="360"/>
        <w:rPr>
          <w:rFonts w:eastAsia="Calibri" w:cs="Arial"/>
          <w:sz w:val="22"/>
          <w:szCs w:val="22"/>
        </w:rPr>
      </w:pPr>
    </w:p>
    <w:p w:rsidR="00245573" w:rsidRPr="00FD0E44" w:rsidRDefault="00245573" w:rsidP="00245573">
      <w:pPr>
        <w:rPr>
          <w:rFonts w:eastAsia="Calibri" w:cs="Arial"/>
          <w:sz w:val="22"/>
          <w:szCs w:val="22"/>
        </w:rPr>
      </w:pPr>
      <w:r w:rsidRPr="00FD0E44">
        <w:rPr>
          <w:rFonts w:eastAsia="Calibri" w:cs="Arial"/>
          <w:sz w:val="22"/>
          <w:szCs w:val="22"/>
        </w:rPr>
        <w:t>The proposal loses 3 posts, although is supplemented by additional HR Advisors to enhance the delivery of our OD offering in service areas and a resource to support recruitment in specialist areas to ensure we are attracting and appointing the best possible candidates.  The net savings are circa £80k.</w:t>
      </w:r>
    </w:p>
    <w:p w:rsidR="00245573" w:rsidRPr="00FD0E44" w:rsidRDefault="00245573" w:rsidP="00245573">
      <w:pPr>
        <w:ind w:left="360"/>
        <w:rPr>
          <w:rFonts w:eastAsia="Calibri" w:cs="Arial"/>
          <w:sz w:val="22"/>
          <w:szCs w:val="22"/>
        </w:rPr>
      </w:pPr>
      <w:r w:rsidRPr="00FD0E44">
        <w:rPr>
          <w:rFonts w:eastAsia="Calibri" w:cs="Arial"/>
          <w:sz w:val="22"/>
          <w:szCs w:val="22"/>
        </w:rPr>
        <w:t xml:space="preserve"> </w:t>
      </w:r>
    </w:p>
    <w:p w:rsidR="00245573" w:rsidRPr="00FD0E44" w:rsidRDefault="00245573" w:rsidP="00245573">
      <w:pPr>
        <w:contextualSpacing/>
        <w:rPr>
          <w:rFonts w:eastAsia="Calibri" w:cs="Arial"/>
          <w:sz w:val="22"/>
          <w:szCs w:val="22"/>
        </w:rPr>
      </w:pPr>
      <w:r w:rsidRPr="00FD0E44">
        <w:rPr>
          <w:rFonts w:eastAsia="Calibri" w:cs="Arial"/>
          <w:sz w:val="22"/>
          <w:szCs w:val="22"/>
        </w:rPr>
        <w:t xml:space="preserve">The Corporate Health and Safety Advisor will remain in the HR &amp; OD service with a “dotted line” to the two other Health &amp; Safety roles: Construction and Property;  Depot Facilities Manager in Direct Services.  </w:t>
      </w:r>
    </w:p>
    <w:p w:rsidR="00245573" w:rsidRDefault="00245573" w:rsidP="00245573">
      <w:pPr>
        <w:contextualSpacing/>
        <w:rPr>
          <w:rFonts w:eastAsia="Calibri" w:cs="Arial"/>
          <w:sz w:val="22"/>
          <w:szCs w:val="22"/>
        </w:rPr>
      </w:pPr>
    </w:p>
    <w:p w:rsidR="008A22C6" w:rsidRPr="008A22C6" w:rsidRDefault="00245573" w:rsidP="008A22C6">
      <w:pPr>
        <w:contextualSpacing/>
      </w:pPr>
      <w:r w:rsidRPr="00FD0E44">
        <w:rPr>
          <w:rFonts w:eastAsia="Calibri" w:cs="Arial"/>
          <w:sz w:val="22"/>
          <w:szCs w:val="22"/>
        </w:rPr>
        <w:t xml:space="preserve">The tender of FMS and HR&amp; Payroll systems has generated some capital budget savings.  These savings could be used to get the </w:t>
      </w:r>
      <w:proofErr w:type="spellStart"/>
      <w:r w:rsidRPr="00FD0E44">
        <w:rPr>
          <w:rFonts w:eastAsia="Calibri" w:cs="Arial"/>
          <w:sz w:val="22"/>
          <w:szCs w:val="22"/>
        </w:rPr>
        <w:t>iTrent</w:t>
      </w:r>
      <w:proofErr w:type="spellEnd"/>
      <w:r w:rsidRPr="00FD0E44">
        <w:rPr>
          <w:rFonts w:eastAsia="Calibri" w:cs="Arial"/>
          <w:sz w:val="22"/>
          <w:szCs w:val="22"/>
        </w:rPr>
        <w:t xml:space="preserve"> system developed to maximum potential. There is £60k capital earmarked for this purpose.</w:t>
      </w:r>
      <w:bookmarkStart w:id="0" w:name="_GoBack"/>
      <w:bookmarkEnd w:id="0"/>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90C52"/>
    <w:multiLevelType w:val="hybridMultilevel"/>
    <w:tmpl w:val="938271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73"/>
    <w:rsid w:val="000B4310"/>
    <w:rsid w:val="00245573"/>
    <w:rsid w:val="004000D7"/>
    <w:rsid w:val="004840A9"/>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7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7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C80D-E9A4-46D0-BC63-7702DFC9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1</cp:revision>
  <dcterms:created xsi:type="dcterms:W3CDTF">2017-03-28T09:26:00Z</dcterms:created>
  <dcterms:modified xsi:type="dcterms:W3CDTF">2017-03-28T09:26:00Z</dcterms:modified>
</cp:coreProperties>
</file>